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794" w14:textId="77777777" w:rsidR="00DA68D5" w:rsidRDefault="00000000">
      <w:pPr>
        <w:spacing w:before="240" w:after="240" w:line="240" w:lineRule="auto"/>
        <w:jc w:val="center"/>
        <w:rPr>
          <w:b/>
          <w:i/>
          <w:color w:val="23262C"/>
          <w:sz w:val="20"/>
          <w:szCs w:val="20"/>
          <w:highlight w:val="white"/>
        </w:rPr>
      </w:pPr>
      <w:r>
        <w:rPr>
          <w:b/>
          <w:sz w:val="26"/>
          <w:szCs w:val="26"/>
          <w:highlight w:val="white"/>
        </w:rPr>
        <w:t>ARRIVAL Announces $300M Equity Financing Line and Provides 2023 Outlook</w:t>
      </w:r>
    </w:p>
    <w:p w14:paraId="28CCD319" w14:textId="77777777" w:rsidR="00DA68D5" w:rsidRDefault="00000000">
      <w:pPr>
        <w:spacing w:line="240" w:lineRule="auto"/>
        <w:jc w:val="center"/>
        <w:rPr>
          <w:b/>
          <w:i/>
          <w:color w:val="23262C"/>
          <w:sz w:val="20"/>
          <w:szCs w:val="20"/>
          <w:highlight w:val="white"/>
        </w:rPr>
      </w:pPr>
      <w:r>
        <w:rPr>
          <w:b/>
          <w:i/>
          <w:color w:val="23262C"/>
          <w:sz w:val="20"/>
          <w:szCs w:val="20"/>
          <w:highlight w:val="white"/>
        </w:rPr>
        <w:t>$300M Equity Financing Line with Westwood Capital Provides Additional Liquidity</w:t>
      </w:r>
    </w:p>
    <w:p w14:paraId="54CB20C0" w14:textId="77777777" w:rsidR="00DA68D5" w:rsidRDefault="00000000">
      <w:pPr>
        <w:spacing w:line="240" w:lineRule="auto"/>
        <w:jc w:val="center"/>
        <w:rPr>
          <w:b/>
          <w:i/>
          <w:color w:val="23262C"/>
          <w:sz w:val="20"/>
          <w:szCs w:val="20"/>
          <w:highlight w:val="white"/>
        </w:rPr>
      </w:pPr>
      <w:r>
        <w:rPr>
          <w:b/>
          <w:i/>
          <w:color w:val="23262C"/>
          <w:sz w:val="20"/>
          <w:szCs w:val="20"/>
          <w:highlight w:val="white"/>
        </w:rPr>
        <w:t>Extraordinary General Meeting of Shareholders to Approve Reverse Stock Split</w:t>
      </w:r>
    </w:p>
    <w:p w14:paraId="0FB44836" w14:textId="77777777" w:rsidR="00DA68D5" w:rsidRDefault="00DA68D5">
      <w:pPr>
        <w:spacing w:line="240" w:lineRule="auto"/>
        <w:jc w:val="center"/>
        <w:rPr>
          <w:b/>
          <w:i/>
          <w:color w:val="23262C"/>
          <w:sz w:val="20"/>
          <w:szCs w:val="20"/>
          <w:highlight w:val="white"/>
        </w:rPr>
      </w:pPr>
    </w:p>
    <w:p w14:paraId="1242E6A8" w14:textId="77777777" w:rsidR="00DA68D5" w:rsidRDefault="00DA68D5">
      <w:pPr>
        <w:spacing w:line="240" w:lineRule="auto"/>
        <w:jc w:val="center"/>
        <w:rPr>
          <w:b/>
          <w:sz w:val="20"/>
          <w:szCs w:val="20"/>
          <w:highlight w:val="white"/>
        </w:rPr>
      </w:pPr>
    </w:p>
    <w:p w14:paraId="2B9786DC" w14:textId="77777777" w:rsidR="00DA68D5" w:rsidRDefault="00000000">
      <w:pPr>
        <w:jc w:val="both"/>
        <w:rPr>
          <w:color w:val="23262C"/>
          <w:sz w:val="20"/>
          <w:szCs w:val="20"/>
          <w:highlight w:val="white"/>
        </w:rPr>
      </w:pPr>
      <w:r>
        <w:rPr>
          <w:b/>
          <w:color w:val="212121"/>
          <w:sz w:val="20"/>
          <w:szCs w:val="20"/>
          <w:highlight w:val="white"/>
        </w:rPr>
        <w:t xml:space="preserve">Luxembourg, March 13, 2023 </w:t>
      </w:r>
      <w:r>
        <w:rPr>
          <w:color w:val="212121"/>
          <w:sz w:val="20"/>
          <w:szCs w:val="20"/>
          <w:highlight w:val="white"/>
        </w:rPr>
        <w:t>- Arrival (NASDAQ: ARVL</w:t>
      </w:r>
      <w:r>
        <w:rPr>
          <w:color w:val="23262C"/>
          <w:sz w:val="20"/>
          <w:szCs w:val="20"/>
          <w:highlight w:val="white"/>
        </w:rPr>
        <w:t>; the “Company”) is today announcing a $300 million equity financing line established with Westwood Capital. At the same time, the Company is also announcing the convening of an Extraordinary General Meeting of shareholders to vote on a number of resolutions, including a reverse stock split and capital reduction. Additional details of these announcements will be provided on the Company’s Business Update Webcast scheduled today, March 13, 2023 at 4:30 P.M. Eastern Time.</w:t>
      </w:r>
    </w:p>
    <w:p w14:paraId="6F1D78DD" w14:textId="77777777" w:rsidR="00DA68D5" w:rsidRDefault="00000000">
      <w:pPr>
        <w:jc w:val="both"/>
        <w:rPr>
          <w:color w:val="23262C"/>
          <w:sz w:val="20"/>
          <w:szCs w:val="20"/>
          <w:highlight w:val="white"/>
        </w:rPr>
      </w:pPr>
      <w:r>
        <w:rPr>
          <w:color w:val="23262C"/>
          <w:sz w:val="20"/>
          <w:szCs w:val="20"/>
          <w:highlight w:val="white"/>
        </w:rPr>
        <w:t xml:space="preserve"> </w:t>
      </w:r>
    </w:p>
    <w:p w14:paraId="58B2B969" w14:textId="77777777" w:rsidR="00DA68D5" w:rsidRDefault="00000000">
      <w:pPr>
        <w:jc w:val="both"/>
        <w:rPr>
          <w:color w:val="23262C"/>
          <w:sz w:val="20"/>
          <w:szCs w:val="20"/>
        </w:rPr>
      </w:pPr>
      <w:r>
        <w:rPr>
          <w:color w:val="23262C"/>
          <w:sz w:val="20"/>
          <w:szCs w:val="20"/>
        </w:rPr>
        <w:t xml:space="preserve">“I have come into the business as CEO at a critical time. Arrival has developed innovative technologies and know-how which position us strongly to address the considerable EV market opportunity.  We have now taken important steps to help us take advantage of this opportunity, including raising additional capital as well as placing a sharper focus on the key U.S. market and driving significant efficiency improvements. </w:t>
      </w:r>
    </w:p>
    <w:p w14:paraId="5B7FC630" w14:textId="77777777" w:rsidR="00DA68D5" w:rsidRDefault="00DA68D5">
      <w:pPr>
        <w:jc w:val="both"/>
        <w:rPr>
          <w:color w:val="23262C"/>
          <w:sz w:val="20"/>
          <w:szCs w:val="20"/>
        </w:rPr>
      </w:pPr>
    </w:p>
    <w:p w14:paraId="4FE2FF7F" w14:textId="77777777" w:rsidR="00DA68D5" w:rsidRDefault="00000000">
      <w:pPr>
        <w:jc w:val="both"/>
        <w:rPr>
          <w:rFonts w:ascii="Helvetica Neue" w:eastAsia="Helvetica Neue" w:hAnsi="Helvetica Neue" w:cs="Helvetica Neue"/>
          <w:color w:val="23262C"/>
          <w:sz w:val="20"/>
          <w:szCs w:val="20"/>
        </w:rPr>
      </w:pPr>
      <w:r>
        <w:rPr>
          <w:color w:val="23262C"/>
          <w:sz w:val="20"/>
          <w:szCs w:val="20"/>
        </w:rPr>
        <w:t>Looking forward, we will continue developing and validating our vehicles this year. We are also progressing with encouraging conversations with potential partners and investors to effect the next stage of the business plan - bringing Vans into production in Charlotte in late 2024,” commented Igor Torgov,</w:t>
      </w:r>
      <w:r>
        <w:rPr>
          <w:rFonts w:ascii="Helvetica Neue" w:eastAsia="Helvetica Neue" w:hAnsi="Helvetica Neue" w:cs="Helvetica Neue"/>
          <w:color w:val="23262C"/>
          <w:sz w:val="20"/>
          <w:szCs w:val="20"/>
        </w:rPr>
        <w:t xml:space="preserve"> CEO.</w:t>
      </w:r>
    </w:p>
    <w:p w14:paraId="52707FBB" w14:textId="77777777" w:rsidR="00DA68D5" w:rsidRDefault="00000000">
      <w:pPr>
        <w:jc w:val="both"/>
        <w:rPr>
          <w:color w:val="212121"/>
          <w:sz w:val="20"/>
          <w:szCs w:val="20"/>
        </w:rPr>
      </w:pPr>
      <w:r>
        <w:rPr>
          <w:color w:val="212121"/>
          <w:sz w:val="20"/>
          <w:szCs w:val="20"/>
        </w:rPr>
        <w:t xml:space="preserve"> </w:t>
      </w:r>
    </w:p>
    <w:p w14:paraId="40E1058C" w14:textId="77777777" w:rsidR="00DA68D5" w:rsidRDefault="00000000">
      <w:pPr>
        <w:jc w:val="both"/>
        <w:rPr>
          <w:b/>
          <w:color w:val="212121"/>
          <w:sz w:val="20"/>
          <w:szCs w:val="20"/>
          <w:u w:val="single"/>
        </w:rPr>
      </w:pPr>
      <w:r>
        <w:rPr>
          <w:b/>
          <w:color w:val="212121"/>
          <w:sz w:val="20"/>
          <w:szCs w:val="20"/>
          <w:u w:val="single"/>
        </w:rPr>
        <w:t>Business Updates</w:t>
      </w:r>
    </w:p>
    <w:p w14:paraId="139E92D2" w14:textId="77777777" w:rsidR="00DA68D5" w:rsidRDefault="00000000">
      <w:pPr>
        <w:jc w:val="both"/>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t xml:space="preserve"> </w:t>
      </w:r>
    </w:p>
    <w:p w14:paraId="4573364A" w14:textId="77777777" w:rsidR="00DA68D5" w:rsidRDefault="00000000">
      <w:pPr>
        <w:jc w:val="both"/>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t>Over the last few months the Company has taken decisive steps to significantly reduce its headcount and cash burn. At the same time, it has sharpened its focus on its U.S. product strategy, which will prioritize commencing production of a purpose-built Class 4 XL Delivery Van in the Charlotte factory in late 2024, pending a capital injection this year to fund the program. Recently, the Company was successful in driving organizational efficiencies that will extend the run-rate of existing cash resources into late 2023; it succeeded in arranging up to $350 million of new capital commitments and an agreement to reduce net debt by $121.9 million. Following these actions, the key elements of the business plan are as follows:</w:t>
      </w:r>
    </w:p>
    <w:p w14:paraId="6FF690F8" w14:textId="77777777" w:rsidR="00DA68D5" w:rsidRDefault="00DA68D5">
      <w:pPr>
        <w:jc w:val="both"/>
        <w:rPr>
          <w:rFonts w:ascii="Helvetica Neue" w:eastAsia="Helvetica Neue" w:hAnsi="Helvetica Neue" w:cs="Helvetica Neue"/>
          <w:color w:val="23262C"/>
          <w:sz w:val="20"/>
          <w:szCs w:val="20"/>
          <w:highlight w:val="white"/>
        </w:rPr>
      </w:pPr>
    </w:p>
    <w:p w14:paraId="61245CFF" w14:textId="77777777" w:rsidR="00DA68D5" w:rsidRDefault="00000000">
      <w:pPr>
        <w:ind w:left="720"/>
        <w:rPr>
          <w:rFonts w:ascii="Helvetica Neue" w:eastAsia="Helvetica Neue" w:hAnsi="Helvetica Neue" w:cs="Helvetica Neue"/>
          <w:color w:val="23262C"/>
          <w:sz w:val="20"/>
          <w:szCs w:val="20"/>
          <w:highlight w:val="white"/>
        </w:rPr>
      </w:pPr>
      <w:r>
        <w:rPr>
          <w:rFonts w:ascii="Arial Unicode MS" w:eastAsia="Arial Unicode MS" w:hAnsi="Arial Unicode MS" w:cs="Arial Unicode MS"/>
          <w:color w:val="23262C"/>
          <w:sz w:val="20"/>
          <w:szCs w:val="20"/>
          <w:highlight w:val="white"/>
        </w:rPr>
        <w:t>●</w:t>
      </w:r>
      <w:r>
        <w:rPr>
          <w:rFonts w:ascii="Times New Roman" w:eastAsia="Times New Roman" w:hAnsi="Times New Roman" w:cs="Times New Roman"/>
          <w:color w:val="23262C"/>
          <w:sz w:val="14"/>
          <w:szCs w:val="14"/>
          <w:highlight w:val="white"/>
        </w:rPr>
        <w:t xml:space="preserve">  </w:t>
      </w:r>
      <w:r>
        <w:rPr>
          <w:rFonts w:ascii="Helvetica Neue" w:eastAsia="Helvetica Neue" w:hAnsi="Helvetica Neue" w:cs="Helvetica Neue"/>
          <w:color w:val="23262C"/>
          <w:sz w:val="20"/>
          <w:szCs w:val="20"/>
          <w:highlight w:val="white"/>
        </w:rPr>
        <w:t>Lowering the Company’s current, targeted cash spend to no more than $35 million/quarter which significantly reduces the size of investment required to fund the business this year.</w:t>
      </w:r>
    </w:p>
    <w:p w14:paraId="4B1099D9" w14:textId="77777777" w:rsidR="00DA68D5" w:rsidRDefault="00000000">
      <w:pPr>
        <w:ind w:left="720"/>
        <w:rPr>
          <w:rFonts w:ascii="Helvetica Neue" w:eastAsia="Helvetica Neue" w:hAnsi="Helvetica Neue" w:cs="Helvetica Neue"/>
          <w:color w:val="23262C"/>
          <w:sz w:val="20"/>
          <w:szCs w:val="20"/>
          <w:highlight w:val="white"/>
        </w:rPr>
      </w:pPr>
      <w:r>
        <w:rPr>
          <w:rFonts w:ascii="Arial Unicode MS" w:eastAsia="Arial Unicode MS" w:hAnsi="Arial Unicode MS" w:cs="Arial Unicode MS"/>
          <w:color w:val="23262C"/>
          <w:sz w:val="20"/>
          <w:szCs w:val="20"/>
          <w:highlight w:val="white"/>
        </w:rPr>
        <w:t xml:space="preserve">● Finalizing a 50% reduction of the Company’s global workforce in Q1 that will result in less than 800 employees by the end of March 2023. </w:t>
      </w:r>
    </w:p>
    <w:p w14:paraId="56EAF34C" w14:textId="77777777" w:rsidR="00DA68D5" w:rsidRDefault="00000000">
      <w:pPr>
        <w:ind w:left="720"/>
        <w:rPr>
          <w:rFonts w:ascii="Helvetica Neue" w:eastAsia="Helvetica Neue" w:hAnsi="Helvetica Neue" w:cs="Helvetica Neue"/>
          <w:color w:val="23262C"/>
          <w:sz w:val="20"/>
          <w:szCs w:val="20"/>
          <w:highlight w:val="white"/>
        </w:rPr>
      </w:pPr>
      <w:r>
        <w:rPr>
          <w:rFonts w:ascii="Arial Unicode MS" w:eastAsia="Arial Unicode MS" w:hAnsi="Arial Unicode MS" w:cs="Arial Unicode MS"/>
          <w:color w:val="23262C"/>
          <w:sz w:val="20"/>
          <w:szCs w:val="20"/>
          <w:highlight w:val="white"/>
        </w:rPr>
        <w:t>●</w:t>
      </w:r>
      <w:r>
        <w:rPr>
          <w:rFonts w:ascii="Times New Roman" w:eastAsia="Times New Roman" w:hAnsi="Times New Roman" w:cs="Times New Roman"/>
          <w:color w:val="23262C"/>
          <w:sz w:val="14"/>
          <w:szCs w:val="14"/>
          <w:highlight w:val="white"/>
        </w:rPr>
        <w:t xml:space="preserve">  </w:t>
      </w:r>
      <w:r>
        <w:rPr>
          <w:rFonts w:ascii="Helvetica Neue" w:eastAsia="Helvetica Neue" w:hAnsi="Helvetica Neue" w:cs="Helvetica Neue"/>
          <w:color w:val="23262C"/>
          <w:sz w:val="20"/>
          <w:szCs w:val="20"/>
          <w:highlight w:val="white"/>
        </w:rPr>
        <w:t>Building 10 Vans in the Bicester microfactory to further develop the highly automated factory processes and integrate them with the company’s autonomous mobile robots. These vans will also be used to accumulate 250,000 kms of public road mileage to validate Arrival’s engineering designs and components by the end of 2023.</w:t>
      </w:r>
    </w:p>
    <w:p w14:paraId="0E847FCE" w14:textId="77777777" w:rsidR="00DA68D5" w:rsidRDefault="00000000">
      <w:pPr>
        <w:ind w:left="720"/>
        <w:rPr>
          <w:rFonts w:ascii="Helvetica Neue" w:eastAsia="Helvetica Neue" w:hAnsi="Helvetica Neue" w:cs="Helvetica Neue"/>
          <w:color w:val="23262C"/>
          <w:sz w:val="20"/>
          <w:szCs w:val="20"/>
          <w:highlight w:val="white"/>
        </w:rPr>
      </w:pPr>
      <w:r>
        <w:rPr>
          <w:rFonts w:ascii="Arial Unicode MS" w:eastAsia="Arial Unicode MS" w:hAnsi="Arial Unicode MS" w:cs="Arial Unicode MS"/>
          <w:color w:val="23262C"/>
          <w:sz w:val="20"/>
          <w:szCs w:val="20"/>
          <w:highlight w:val="white"/>
        </w:rPr>
        <w:t>●  Continued development of the XL Van designed specifically for the U.S. market. This product attracts higher average selling prices, margins and tax credits than the L Van, and will require a dedicated capital raise to fund production in the Charlotte factory. Start of production in Charlotte is targeted for late 2024.</w:t>
      </w:r>
    </w:p>
    <w:p w14:paraId="0C27C979" w14:textId="77777777" w:rsidR="00DA68D5" w:rsidRDefault="00000000">
      <w:pPr>
        <w:jc w:val="both"/>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lastRenderedPageBreak/>
        <w:t xml:space="preserve"> </w:t>
      </w:r>
    </w:p>
    <w:p w14:paraId="6D68CCF1" w14:textId="77777777" w:rsidR="00DA68D5" w:rsidRDefault="00000000">
      <w:pPr>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t>Igor Torgov, previously an Arrival executive, has been appointed as CEO to lead the execution of the newly approved plan, with his intimate knowledge of Arrival’s business priorities, technologies and talent.</w:t>
      </w:r>
    </w:p>
    <w:p w14:paraId="688B3D46" w14:textId="77777777" w:rsidR="00DA68D5" w:rsidRDefault="00000000">
      <w:pPr>
        <w:jc w:val="both"/>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t xml:space="preserve"> </w:t>
      </w:r>
    </w:p>
    <w:p w14:paraId="40BA8CDB" w14:textId="77777777" w:rsidR="00DA68D5" w:rsidRDefault="00000000">
      <w:pPr>
        <w:jc w:val="both"/>
        <w:rPr>
          <w:b/>
          <w:color w:val="212121"/>
          <w:sz w:val="20"/>
          <w:szCs w:val="20"/>
          <w:u w:val="single"/>
        </w:rPr>
      </w:pPr>
      <w:r>
        <w:rPr>
          <w:b/>
          <w:color w:val="212121"/>
          <w:sz w:val="20"/>
          <w:szCs w:val="20"/>
          <w:u w:val="single"/>
        </w:rPr>
        <w:t>Equity Financing Line</w:t>
      </w:r>
    </w:p>
    <w:p w14:paraId="4FBA9303" w14:textId="77777777" w:rsidR="00DA68D5" w:rsidRDefault="00000000">
      <w:pPr>
        <w:jc w:val="both"/>
        <w:rPr>
          <w:b/>
          <w:color w:val="212121"/>
          <w:sz w:val="20"/>
          <w:szCs w:val="20"/>
          <w:u w:val="single"/>
        </w:rPr>
      </w:pPr>
      <w:r>
        <w:rPr>
          <w:b/>
          <w:color w:val="212121"/>
          <w:sz w:val="20"/>
          <w:szCs w:val="20"/>
          <w:u w:val="single"/>
        </w:rPr>
        <w:t xml:space="preserve"> </w:t>
      </w:r>
    </w:p>
    <w:p w14:paraId="43A6B1AE" w14:textId="77777777" w:rsidR="00DA68D5" w:rsidRDefault="00000000">
      <w:pPr>
        <w:rPr>
          <w:rFonts w:ascii="Helvetica Neue" w:eastAsia="Helvetica Neue" w:hAnsi="Helvetica Neue" w:cs="Helvetica Neue"/>
          <w:color w:val="23262C"/>
          <w:sz w:val="20"/>
          <w:szCs w:val="20"/>
          <w:highlight w:val="white"/>
        </w:rPr>
      </w:pPr>
      <w:r>
        <w:rPr>
          <w:rFonts w:ascii="Helvetica Neue" w:eastAsia="Helvetica Neue" w:hAnsi="Helvetica Neue" w:cs="Helvetica Neue"/>
          <w:color w:val="23262C"/>
          <w:sz w:val="20"/>
          <w:szCs w:val="20"/>
          <w:highlight w:val="white"/>
        </w:rPr>
        <w:t>The Company has established a $300 million equity financing line with Westwood Capital, providing the Company with access to additional liquidity, subject to certain conditions. For further information regarding the equity financing line, please see the Company’s report on Form 6-K filed with the U.S. Securities and Exchange Commission via its EDGAR system today, March 13, 2023. The report is available on the SEC’s website at www.sec.gov. The information contained in this website is not incorporated by reference in, or in any way a part of, this press release.</w:t>
      </w:r>
    </w:p>
    <w:p w14:paraId="6CFB4703" w14:textId="77777777" w:rsidR="00DA68D5" w:rsidRDefault="00DA68D5">
      <w:pPr>
        <w:rPr>
          <w:rFonts w:ascii="Helvetica Neue" w:eastAsia="Helvetica Neue" w:hAnsi="Helvetica Neue" w:cs="Helvetica Neue"/>
          <w:color w:val="23262C"/>
          <w:sz w:val="20"/>
          <w:szCs w:val="20"/>
          <w:highlight w:val="yellow"/>
        </w:rPr>
      </w:pPr>
    </w:p>
    <w:p w14:paraId="7EE02005" w14:textId="77777777" w:rsidR="00DA68D5" w:rsidRDefault="00000000">
      <w:pPr>
        <w:jc w:val="both"/>
        <w:rPr>
          <w:b/>
          <w:color w:val="212121"/>
          <w:sz w:val="20"/>
          <w:szCs w:val="20"/>
          <w:u w:val="single"/>
        </w:rPr>
      </w:pPr>
      <w:r>
        <w:rPr>
          <w:b/>
          <w:color w:val="212121"/>
          <w:sz w:val="20"/>
          <w:szCs w:val="20"/>
          <w:u w:val="single"/>
        </w:rPr>
        <w:t>Outlook</w:t>
      </w:r>
    </w:p>
    <w:p w14:paraId="7739493D" w14:textId="77777777" w:rsidR="00DA68D5" w:rsidRDefault="00DA68D5">
      <w:pPr>
        <w:jc w:val="both"/>
        <w:rPr>
          <w:b/>
          <w:color w:val="212121"/>
          <w:sz w:val="20"/>
          <w:szCs w:val="20"/>
          <w:u w:val="single"/>
        </w:rPr>
      </w:pPr>
    </w:p>
    <w:p w14:paraId="6BBB98E0" w14:textId="77777777" w:rsidR="00DA68D5" w:rsidRDefault="00000000">
      <w:pPr>
        <w:numPr>
          <w:ilvl w:val="0"/>
          <w:numId w:val="2"/>
        </w:numPr>
        <w:rPr>
          <w:sz w:val="20"/>
          <w:szCs w:val="20"/>
        </w:rPr>
      </w:pPr>
      <w:r>
        <w:rPr>
          <w:sz w:val="20"/>
          <w:szCs w:val="20"/>
        </w:rPr>
        <w:t>The XL Delivery Van funding activities are specific to driving the start of production in Charlotte next year. There is no planned Capex spend related to this program until dedicated capital is raised.</w:t>
      </w:r>
    </w:p>
    <w:p w14:paraId="16E4C2FD" w14:textId="77777777" w:rsidR="00DA68D5" w:rsidRDefault="00000000">
      <w:pPr>
        <w:numPr>
          <w:ilvl w:val="0"/>
          <w:numId w:val="2"/>
        </w:numPr>
        <w:rPr>
          <w:sz w:val="20"/>
          <w:szCs w:val="20"/>
        </w:rPr>
      </w:pPr>
      <w:r>
        <w:rPr>
          <w:sz w:val="20"/>
          <w:szCs w:val="20"/>
        </w:rPr>
        <w:t>Arrival will achieve its target quarterly $35 million burn rate by the second half of 2023.</w:t>
      </w:r>
    </w:p>
    <w:p w14:paraId="61190FE4" w14:textId="77777777" w:rsidR="00DA68D5" w:rsidRDefault="00000000">
      <w:pPr>
        <w:numPr>
          <w:ilvl w:val="0"/>
          <w:numId w:val="2"/>
        </w:numPr>
        <w:rPr>
          <w:sz w:val="20"/>
          <w:szCs w:val="20"/>
        </w:rPr>
      </w:pPr>
      <w:r>
        <w:rPr>
          <w:sz w:val="20"/>
          <w:szCs w:val="20"/>
        </w:rPr>
        <w:t>With available capital resources and additional initiatives to reduce working capital, the Company expects to have sufficient liquidity to fund the business into late 2023 without the investments required for XL production.</w:t>
      </w:r>
    </w:p>
    <w:p w14:paraId="19838F92" w14:textId="77777777" w:rsidR="00DA68D5" w:rsidRDefault="00DA68D5">
      <w:pPr>
        <w:pBdr>
          <w:top w:val="nil"/>
          <w:left w:val="nil"/>
          <w:bottom w:val="nil"/>
          <w:right w:val="nil"/>
          <w:between w:val="nil"/>
        </w:pBdr>
        <w:rPr>
          <w:color w:val="212121"/>
          <w:sz w:val="20"/>
          <w:szCs w:val="20"/>
        </w:rPr>
      </w:pPr>
    </w:p>
    <w:p w14:paraId="6727A389" w14:textId="77777777" w:rsidR="00DA68D5" w:rsidRDefault="00DA68D5">
      <w:pPr>
        <w:pBdr>
          <w:top w:val="nil"/>
          <w:left w:val="nil"/>
          <w:bottom w:val="nil"/>
          <w:right w:val="nil"/>
          <w:between w:val="nil"/>
        </w:pBdr>
        <w:rPr>
          <w:color w:val="212121"/>
          <w:sz w:val="20"/>
          <w:szCs w:val="20"/>
        </w:rPr>
      </w:pPr>
    </w:p>
    <w:p w14:paraId="76B9B441" w14:textId="77777777" w:rsidR="00DA68D5" w:rsidRDefault="00000000">
      <w:pPr>
        <w:jc w:val="both"/>
        <w:rPr>
          <w:b/>
          <w:color w:val="212121"/>
          <w:sz w:val="20"/>
          <w:szCs w:val="20"/>
          <w:u w:val="single"/>
        </w:rPr>
      </w:pPr>
      <w:r>
        <w:rPr>
          <w:b/>
          <w:color w:val="212121"/>
          <w:sz w:val="20"/>
          <w:szCs w:val="20"/>
          <w:u w:val="single"/>
        </w:rPr>
        <w:t>2023 Operational Milestones</w:t>
      </w:r>
    </w:p>
    <w:p w14:paraId="4D451A9F" w14:textId="77777777" w:rsidR="00DA68D5" w:rsidRDefault="00DA68D5">
      <w:pPr>
        <w:jc w:val="both"/>
        <w:rPr>
          <w:b/>
          <w:color w:val="212121"/>
          <w:sz w:val="20"/>
          <w:szCs w:val="20"/>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1785"/>
        <w:gridCol w:w="2625"/>
      </w:tblGrid>
      <w:tr w:rsidR="00DA68D5" w14:paraId="48014DD9" w14:textId="77777777">
        <w:tc>
          <w:tcPr>
            <w:tcW w:w="4950" w:type="dxa"/>
            <w:shd w:val="clear" w:color="auto" w:fill="auto"/>
            <w:tcMar>
              <w:top w:w="100" w:type="dxa"/>
              <w:left w:w="100" w:type="dxa"/>
              <w:bottom w:w="100" w:type="dxa"/>
              <w:right w:w="100" w:type="dxa"/>
            </w:tcMar>
          </w:tcPr>
          <w:p w14:paraId="6F1B2D16" w14:textId="77777777" w:rsidR="00DA68D5" w:rsidRDefault="00000000">
            <w:pPr>
              <w:widowControl w:val="0"/>
              <w:pBdr>
                <w:top w:val="nil"/>
                <w:left w:val="nil"/>
                <w:bottom w:val="nil"/>
                <w:right w:val="nil"/>
                <w:between w:val="nil"/>
              </w:pBdr>
              <w:spacing w:line="240" w:lineRule="auto"/>
              <w:rPr>
                <w:b/>
                <w:color w:val="212121"/>
                <w:sz w:val="20"/>
                <w:szCs w:val="20"/>
              </w:rPr>
            </w:pPr>
            <w:r>
              <w:rPr>
                <w:b/>
                <w:color w:val="212121"/>
                <w:sz w:val="20"/>
                <w:szCs w:val="20"/>
              </w:rPr>
              <w:t>Milestone</w:t>
            </w:r>
          </w:p>
        </w:tc>
        <w:tc>
          <w:tcPr>
            <w:tcW w:w="1785" w:type="dxa"/>
            <w:shd w:val="clear" w:color="auto" w:fill="auto"/>
            <w:tcMar>
              <w:top w:w="100" w:type="dxa"/>
              <w:left w:w="100" w:type="dxa"/>
              <w:bottom w:w="100" w:type="dxa"/>
              <w:right w:w="100" w:type="dxa"/>
            </w:tcMar>
          </w:tcPr>
          <w:p w14:paraId="009D9158" w14:textId="77777777" w:rsidR="00DA68D5" w:rsidRDefault="00000000">
            <w:pPr>
              <w:widowControl w:val="0"/>
              <w:pBdr>
                <w:top w:val="nil"/>
                <w:left w:val="nil"/>
                <w:bottom w:val="nil"/>
                <w:right w:val="nil"/>
                <w:between w:val="nil"/>
              </w:pBdr>
              <w:spacing w:line="240" w:lineRule="auto"/>
              <w:rPr>
                <w:b/>
                <w:color w:val="212121"/>
                <w:sz w:val="20"/>
                <w:szCs w:val="20"/>
              </w:rPr>
            </w:pPr>
            <w:r>
              <w:rPr>
                <w:b/>
                <w:color w:val="212121"/>
                <w:sz w:val="20"/>
                <w:szCs w:val="20"/>
              </w:rPr>
              <w:t>Target Timeline</w:t>
            </w:r>
          </w:p>
        </w:tc>
        <w:tc>
          <w:tcPr>
            <w:tcW w:w="2625" w:type="dxa"/>
            <w:shd w:val="clear" w:color="auto" w:fill="auto"/>
            <w:tcMar>
              <w:top w:w="100" w:type="dxa"/>
              <w:left w:w="100" w:type="dxa"/>
              <w:bottom w:w="100" w:type="dxa"/>
              <w:right w:w="100" w:type="dxa"/>
            </w:tcMar>
          </w:tcPr>
          <w:p w14:paraId="37DD8342" w14:textId="77777777" w:rsidR="00DA68D5" w:rsidRDefault="00000000">
            <w:pPr>
              <w:widowControl w:val="0"/>
              <w:pBdr>
                <w:top w:val="nil"/>
                <w:left w:val="nil"/>
                <w:bottom w:val="nil"/>
                <w:right w:val="nil"/>
                <w:between w:val="nil"/>
              </w:pBdr>
              <w:spacing w:line="240" w:lineRule="auto"/>
              <w:rPr>
                <w:b/>
                <w:color w:val="212121"/>
                <w:sz w:val="20"/>
                <w:szCs w:val="20"/>
              </w:rPr>
            </w:pPr>
            <w:r>
              <w:rPr>
                <w:b/>
                <w:color w:val="212121"/>
                <w:sz w:val="20"/>
                <w:szCs w:val="20"/>
              </w:rPr>
              <w:t>Status</w:t>
            </w:r>
          </w:p>
        </w:tc>
      </w:tr>
      <w:tr w:rsidR="00DA68D5" w14:paraId="1D5B35E8" w14:textId="77777777">
        <w:tc>
          <w:tcPr>
            <w:tcW w:w="4950" w:type="dxa"/>
            <w:shd w:val="clear" w:color="auto" w:fill="auto"/>
            <w:tcMar>
              <w:top w:w="100" w:type="dxa"/>
              <w:left w:w="100" w:type="dxa"/>
              <w:bottom w:w="100" w:type="dxa"/>
              <w:right w:w="100" w:type="dxa"/>
            </w:tcMar>
          </w:tcPr>
          <w:p w14:paraId="75145F16" w14:textId="77777777" w:rsidR="00DA68D5" w:rsidRDefault="00000000">
            <w:pPr>
              <w:widowControl w:val="0"/>
              <w:spacing w:line="240" w:lineRule="auto"/>
              <w:rPr>
                <w:color w:val="212121"/>
                <w:sz w:val="20"/>
                <w:szCs w:val="20"/>
              </w:rPr>
            </w:pPr>
            <w:r>
              <w:rPr>
                <w:color w:val="212121"/>
                <w:sz w:val="20"/>
                <w:szCs w:val="20"/>
              </w:rPr>
              <w:t>Build 10 Additional Vans in Bicester</w:t>
            </w:r>
          </w:p>
        </w:tc>
        <w:tc>
          <w:tcPr>
            <w:tcW w:w="1785" w:type="dxa"/>
            <w:shd w:val="clear" w:color="auto" w:fill="auto"/>
            <w:tcMar>
              <w:top w:w="100" w:type="dxa"/>
              <w:left w:w="100" w:type="dxa"/>
              <w:bottom w:w="100" w:type="dxa"/>
              <w:right w:w="100" w:type="dxa"/>
            </w:tcMar>
          </w:tcPr>
          <w:p w14:paraId="2990C65B" w14:textId="77777777" w:rsidR="00DA68D5" w:rsidRDefault="00000000">
            <w:pPr>
              <w:widowControl w:val="0"/>
              <w:pBdr>
                <w:top w:val="nil"/>
                <w:left w:val="nil"/>
                <w:bottom w:val="nil"/>
                <w:right w:val="nil"/>
                <w:between w:val="nil"/>
              </w:pBdr>
              <w:spacing w:line="240" w:lineRule="auto"/>
              <w:rPr>
                <w:color w:val="212121"/>
                <w:sz w:val="20"/>
                <w:szCs w:val="20"/>
              </w:rPr>
            </w:pPr>
            <w:r>
              <w:rPr>
                <w:color w:val="212121"/>
                <w:sz w:val="20"/>
                <w:szCs w:val="20"/>
              </w:rPr>
              <w:t>August 2023</w:t>
            </w:r>
          </w:p>
        </w:tc>
        <w:tc>
          <w:tcPr>
            <w:tcW w:w="2625" w:type="dxa"/>
            <w:shd w:val="clear" w:color="auto" w:fill="auto"/>
            <w:tcMar>
              <w:top w:w="100" w:type="dxa"/>
              <w:left w:w="100" w:type="dxa"/>
              <w:bottom w:w="100" w:type="dxa"/>
              <w:right w:w="100" w:type="dxa"/>
            </w:tcMar>
          </w:tcPr>
          <w:p w14:paraId="3216522C" w14:textId="77777777" w:rsidR="00DA68D5" w:rsidRDefault="00000000">
            <w:pPr>
              <w:widowControl w:val="0"/>
              <w:pBdr>
                <w:top w:val="nil"/>
                <w:left w:val="nil"/>
                <w:bottom w:val="nil"/>
                <w:right w:val="nil"/>
                <w:between w:val="nil"/>
              </w:pBdr>
              <w:spacing w:line="240" w:lineRule="auto"/>
              <w:rPr>
                <w:color w:val="212121"/>
                <w:sz w:val="20"/>
                <w:szCs w:val="20"/>
              </w:rPr>
            </w:pPr>
            <w:r>
              <w:rPr>
                <w:color w:val="212121"/>
                <w:sz w:val="20"/>
                <w:szCs w:val="20"/>
              </w:rPr>
              <w:t>In Progress</w:t>
            </w:r>
          </w:p>
        </w:tc>
      </w:tr>
      <w:tr w:rsidR="00DA68D5" w14:paraId="6D1F94E2" w14:textId="77777777">
        <w:tc>
          <w:tcPr>
            <w:tcW w:w="4950" w:type="dxa"/>
            <w:shd w:val="clear" w:color="auto" w:fill="auto"/>
            <w:tcMar>
              <w:top w:w="100" w:type="dxa"/>
              <w:left w:w="100" w:type="dxa"/>
              <w:bottom w:w="100" w:type="dxa"/>
              <w:right w:w="100" w:type="dxa"/>
            </w:tcMar>
          </w:tcPr>
          <w:p w14:paraId="4F2FC98A" w14:textId="77777777" w:rsidR="00DA68D5" w:rsidRDefault="00000000">
            <w:pPr>
              <w:widowControl w:val="0"/>
              <w:pBdr>
                <w:top w:val="nil"/>
                <w:left w:val="nil"/>
                <w:bottom w:val="nil"/>
                <w:right w:val="nil"/>
                <w:between w:val="nil"/>
              </w:pBdr>
              <w:spacing w:line="240" w:lineRule="auto"/>
              <w:rPr>
                <w:color w:val="212121"/>
                <w:sz w:val="20"/>
                <w:szCs w:val="20"/>
              </w:rPr>
            </w:pPr>
            <w:r>
              <w:rPr>
                <w:color w:val="212121"/>
                <w:sz w:val="20"/>
                <w:szCs w:val="20"/>
              </w:rPr>
              <w:t>Accumulate 250,000 kms public road miles (L Van)</w:t>
            </w:r>
          </w:p>
        </w:tc>
        <w:tc>
          <w:tcPr>
            <w:tcW w:w="1785" w:type="dxa"/>
            <w:shd w:val="clear" w:color="auto" w:fill="auto"/>
            <w:tcMar>
              <w:top w:w="100" w:type="dxa"/>
              <w:left w:w="100" w:type="dxa"/>
              <w:bottom w:w="100" w:type="dxa"/>
              <w:right w:w="100" w:type="dxa"/>
            </w:tcMar>
          </w:tcPr>
          <w:p w14:paraId="77539F2D" w14:textId="77777777" w:rsidR="00DA68D5" w:rsidRDefault="00000000">
            <w:pPr>
              <w:widowControl w:val="0"/>
              <w:pBdr>
                <w:top w:val="nil"/>
                <w:left w:val="nil"/>
                <w:bottom w:val="nil"/>
                <w:right w:val="nil"/>
                <w:between w:val="nil"/>
              </w:pBdr>
              <w:spacing w:line="240" w:lineRule="auto"/>
              <w:rPr>
                <w:color w:val="212121"/>
                <w:sz w:val="20"/>
                <w:szCs w:val="20"/>
              </w:rPr>
            </w:pPr>
            <w:r>
              <w:rPr>
                <w:color w:val="212121"/>
                <w:sz w:val="20"/>
                <w:szCs w:val="20"/>
              </w:rPr>
              <w:t>December 2023</w:t>
            </w:r>
          </w:p>
        </w:tc>
        <w:tc>
          <w:tcPr>
            <w:tcW w:w="2625" w:type="dxa"/>
            <w:shd w:val="clear" w:color="auto" w:fill="auto"/>
            <w:tcMar>
              <w:top w:w="100" w:type="dxa"/>
              <w:left w:w="100" w:type="dxa"/>
              <w:bottom w:w="100" w:type="dxa"/>
              <w:right w:w="100" w:type="dxa"/>
            </w:tcMar>
          </w:tcPr>
          <w:p w14:paraId="5E0E7EB4" w14:textId="77777777" w:rsidR="00DA68D5" w:rsidRDefault="00000000">
            <w:pPr>
              <w:widowControl w:val="0"/>
              <w:pBdr>
                <w:top w:val="nil"/>
                <w:left w:val="nil"/>
                <w:bottom w:val="nil"/>
                <w:right w:val="nil"/>
                <w:between w:val="nil"/>
              </w:pBdr>
              <w:spacing w:line="240" w:lineRule="auto"/>
              <w:rPr>
                <w:color w:val="212121"/>
                <w:sz w:val="20"/>
                <w:szCs w:val="20"/>
              </w:rPr>
            </w:pPr>
            <w:r>
              <w:rPr>
                <w:color w:val="212121"/>
                <w:sz w:val="20"/>
                <w:szCs w:val="20"/>
              </w:rPr>
              <w:t>68,000 kms accumulated</w:t>
            </w:r>
          </w:p>
        </w:tc>
      </w:tr>
    </w:tbl>
    <w:p w14:paraId="6F9F859B" w14:textId="77777777" w:rsidR="00DA68D5" w:rsidRDefault="00DA68D5">
      <w:pPr>
        <w:pBdr>
          <w:top w:val="nil"/>
          <w:left w:val="nil"/>
          <w:bottom w:val="nil"/>
          <w:right w:val="nil"/>
          <w:between w:val="nil"/>
        </w:pBdr>
        <w:jc w:val="both"/>
        <w:rPr>
          <w:b/>
          <w:sz w:val="20"/>
          <w:szCs w:val="20"/>
          <w:highlight w:val="white"/>
          <w:u w:val="single"/>
        </w:rPr>
      </w:pPr>
    </w:p>
    <w:p w14:paraId="55D56D8A" w14:textId="77777777" w:rsidR="00DA68D5" w:rsidRDefault="00000000">
      <w:pPr>
        <w:rPr>
          <w:rFonts w:ascii="Helvetica Neue" w:eastAsia="Helvetica Neue" w:hAnsi="Helvetica Neue" w:cs="Helvetica Neue"/>
          <w:b/>
          <w:color w:val="23262C"/>
          <w:sz w:val="20"/>
          <w:szCs w:val="20"/>
          <w:highlight w:val="white"/>
          <w:u w:val="single"/>
        </w:rPr>
      </w:pPr>
      <w:r>
        <w:rPr>
          <w:rFonts w:ascii="Helvetica Neue" w:eastAsia="Helvetica Neue" w:hAnsi="Helvetica Neue" w:cs="Helvetica Neue"/>
          <w:b/>
          <w:color w:val="23262C"/>
          <w:sz w:val="20"/>
          <w:szCs w:val="20"/>
          <w:highlight w:val="white"/>
          <w:u w:val="single"/>
        </w:rPr>
        <w:t>Reverse Stock Split and Capital Reduction</w:t>
      </w:r>
    </w:p>
    <w:p w14:paraId="77D82610" w14:textId="77777777" w:rsidR="00DA68D5" w:rsidRDefault="00DA68D5">
      <w:pPr>
        <w:ind w:left="720"/>
        <w:rPr>
          <w:rFonts w:ascii="Helvetica Neue" w:eastAsia="Helvetica Neue" w:hAnsi="Helvetica Neue" w:cs="Helvetica Neue"/>
          <w:color w:val="23262C"/>
          <w:sz w:val="20"/>
          <w:szCs w:val="20"/>
          <w:highlight w:val="white"/>
        </w:rPr>
      </w:pPr>
    </w:p>
    <w:p w14:paraId="3A393956" w14:textId="77777777" w:rsidR="00DA68D5" w:rsidRDefault="00000000">
      <w:pPr>
        <w:rPr>
          <w:rFonts w:ascii="Helvetica Neue" w:eastAsia="Helvetica Neue" w:hAnsi="Helvetica Neue" w:cs="Helvetica Neue"/>
          <w:color w:val="23262C"/>
          <w:sz w:val="20"/>
          <w:szCs w:val="20"/>
          <w:highlight w:val="yellow"/>
        </w:rPr>
      </w:pPr>
      <w:r>
        <w:rPr>
          <w:rFonts w:ascii="Helvetica Neue" w:eastAsia="Helvetica Neue" w:hAnsi="Helvetica Neue" w:cs="Helvetica Neue"/>
          <w:color w:val="23262C"/>
          <w:sz w:val="20"/>
          <w:szCs w:val="20"/>
          <w:highlight w:val="white"/>
        </w:rPr>
        <w:t xml:space="preserve">Arrival today announced the calling of an Extraordinary General Meeting (“EGM”) of Shareholders to vote on a proposed reverse stock split at a consolidation ratio within a range from 30:1 to 50:1 to position the Company to regain compliance with the minimum bid requirement under the Nasdaq listing rules by its ordinary shares trading above $1 for 10 consecutive business days prior to May 1, 2023. At the EGM, Shareholders will also be asked to vote on a proposed capital reduction to $156,532.22, without cancellation of shares or payments to shareholders, thereby setting the par value of the Company’s ordinary shares at around $0.0002 per ordinary share prior to the implementation of the reverse stock split. The EGM is planned for April 6, 2023 and Shareholders holding shares of the Company as of March 28, 2023 will be invited to vote on the resolutions. </w:t>
      </w:r>
      <w:r>
        <w:rPr>
          <w:rFonts w:ascii="Helvetica Neue" w:eastAsia="Helvetica Neue" w:hAnsi="Helvetica Neue" w:cs="Helvetica Neue"/>
          <w:color w:val="23262C"/>
          <w:sz w:val="20"/>
          <w:szCs w:val="20"/>
          <w:highlight w:val="yellow"/>
        </w:rPr>
        <w:t xml:space="preserve"> </w:t>
      </w:r>
    </w:p>
    <w:p w14:paraId="40596618" w14:textId="77777777" w:rsidR="00DA68D5" w:rsidRDefault="00DA68D5">
      <w:pPr>
        <w:jc w:val="both"/>
        <w:rPr>
          <w:rFonts w:ascii="Helvetica Neue" w:eastAsia="Helvetica Neue" w:hAnsi="Helvetica Neue" w:cs="Helvetica Neue"/>
          <w:b/>
          <w:color w:val="212121"/>
          <w:sz w:val="20"/>
          <w:szCs w:val="20"/>
          <w:u w:val="single"/>
        </w:rPr>
      </w:pPr>
    </w:p>
    <w:p w14:paraId="40AE75FE" w14:textId="77777777" w:rsidR="00DA68D5" w:rsidRDefault="00000000">
      <w:pPr>
        <w:jc w:val="both"/>
        <w:rPr>
          <w:rFonts w:ascii="Helvetica Neue" w:eastAsia="Helvetica Neue" w:hAnsi="Helvetica Neue" w:cs="Helvetica Neue"/>
          <w:b/>
          <w:color w:val="212121"/>
          <w:sz w:val="20"/>
          <w:szCs w:val="20"/>
          <w:u w:val="single"/>
        </w:rPr>
      </w:pPr>
      <w:r>
        <w:rPr>
          <w:rFonts w:ascii="Helvetica Neue" w:eastAsia="Helvetica Neue" w:hAnsi="Helvetica Neue" w:cs="Helvetica Neue"/>
          <w:b/>
          <w:color w:val="212121"/>
          <w:sz w:val="20"/>
          <w:szCs w:val="20"/>
          <w:u w:val="single"/>
        </w:rPr>
        <w:t>Going Concern</w:t>
      </w:r>
    </w:p>
    <w:p w14:paraId="7FF171DA"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 xml:space="preserve">At the end of December, the Company had $205 million of cash on hand. Subsequent to the end of December, the company announced a transaction with its largest bond holder Antara, that includes up </w:t>
      </w:r>
      <w:r>
        <w:rPr>
          <w:rFonts w:ascii="Helvetica Neue" w:eastAsia="Helvetica Neue" w:hAnsi="Helvetica Neue" w:cs="Helvetica Neue"/>
          <w:color w:val="212121"/>
          <w:sz w:val="20"/>
          <w:szCs w:val="20"/>
        </w:rPr>
        <w:lastRenderedPageBreak/>
        <w:t>to $50 million of additional capital commitments and today announced a $300 million equity financing line with Westwood Capital.</w:t>
      </w:r>
    </w:p>
    <w:p w14:paraId="6CA9BD91" w14:textId="77777777" w:rsidR="00DA68D5" w:rsidRDefault="00DA68D5">
      <w:pPr>
        <w:rPr>
          <w:rFonts w:ascii="Helvetica Neue" w:eastAsia="Helvetica Neue" w:hAnsi="Helvetica Neue" w:cs="Helvetica Neue"/>
          <w:color w:val="212121"/>
          <w:sz w:val="20"/>
          <w:szCs w:val="20"/>
        </w:rPr>
      </w:pPr>
    </w:p>
    <w:p w14:paraId="46DA49CE"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3262C"/>
          <w:sz w:val="20"/>
          <w:szCs w:val="20"/>
        </w:rPr>
        <w:t>In January, the company announced additional plans to restructure its business, which included a reduction in its workforce to less than 800 people and other cost control measures that the company expects to result in quarterly cash burn of no more than $35 million.</w:t>
      </w:r>
      <w:r>
        <w:rPr>
          <w:rFonts w:ascii="Helvetica Neue" w:eastAsia="Helvetica Neue" w:hAnsi="Helvetica Neue" w:cs="Helvetica Neue"/>
          <w:color w:val="212121"/>
          <w:sz w:val="20"/>
          <w:szCs w:val="20"/>
        </w:rPr>
        <w:t xml:space="preserve"> </w:t>
      </w:r>
    </w:p>
    <w:p w14:paraId="3F4E2D7E" w14:textId="77777777" w:rsidR="00DA68D5" w:rsidRDefault="00DA68D5">
      <w:pPr>
        <w:rPr>
          <w:rFonts w:ascii="Helvetica Neue" w:eastAsia="Helvetica Neue" w:hAnsi="Helvetica Neue" w:cs="Helvetica Neue"/>
          <w:color w:val="212121"/>
          <w:sz w:val="20"/>
          <w:szCs w:val="20"/>
        </w:rPr>
      </w:pPr>
    </w:p>
    <w:p w14:paraId="35340374"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Also in January, the Company’s board approved a new business plan based on the quarterly cash burn targets and a product focused on the US Market to start production in Charlotte in 2024.</w:t>
      </w:r>
    </w:p>
    <w:p w14:paraId="27755A53" w14:textId="77777777" w:rsidR="00DA68D5" w:rsidRDefault="00DA68D5">
      <w:pPr>
        <w:rPr>
          <w:rFonts w:ascii="Helvetica Neue" w:eastAsia="Helvetica Neue" w:hAnsi="Helvetica Neue" w:cs="Helvetica Neue"/>
          <w:color w:val="212121"/>
          <w:sz w:val="20"/>
          <w:szCs w:val="20"/>
        </w:rPr>
      </w:pPr>
    </w:p>
    <w:p w14:paraId="5C16EC2E"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Although as of December 31, 2022 the Company did not have sufficient cash to fund the business plan or its operation for a period of 12 months, with the actions taken to reduce costs and the capital commitments subsequent to year end, the Company believes it can operate the business into late 2023 while it seeks to raise capital to complete the vehicle program for the U.S. and make the necessary capital investments to start production in late 2024, including prototyping, tooling, factory capex and working capital. Despite mitigating factors taken to date, there remain material uncertainties about the Company’s ability to continue as a going concern primarily due to the fact that further capital raises are required to fund the company to a break even point.</w:t>
      </w:r>
    </w:p>
    <w:p w14:paraId="766F8C3B" w14:textId="77777777" w:rsidR="00DA68D5" w:rsidRDefault="00DA68D5">
      <w:pPr>
        <w:rPr>
          <w:rFonts w:ascii="Helvetica Neue" w:eastAsia="Helvetica Neue" w:hAnsi="Helvetica Neue" w:cs="Helvetica Neue"/>
          <w:color w:val="212121"/>
          <w:sz w:val="20"/>
          <w:szCs w:val="20"/>
        </w:rPr>
      </w:pPr>
    </w:p>
    <w:p w14:paraId="3063A660"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 xml:space="preserve">The Company is exploring all funding and strategic opportunities to obtain the capital necessary to fund the vehicle program and bring the company to cash flow break-even. </w:t>
      </w:r>
    </w:p>
    <w:p w14:paraId="79F27CED" w14:textId="77777777" w:rsidR="00DA68D5" w:rsidRDefault="00DA68D5">
      <w:pPr>
        <w:rPr>
          <w:rFonts w:ascii="Helvetica Neue" w:eastAsia="Helvetica Neue" w:hAnsi="Helvetica Neue" w:cs="Helvetica Neue"/>
          <w:color w:val="212121"/>
          <w:sz w:val="20"/>
          <w:szCs w:val="20"/>
        </w:rPr>
      </w:pPr>
    </w:p>
    <w:p w14:paraId="66AF77F2" w14:textId="77777777" w:rsidR="00DA68D5" w:rsidRDefault="00000000">
      <w:pPr>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 xml:space="preserve">Therefore, notwithstanding the material uncertainties noted, the Board determined that the Company's unaudited financial information is appropriately prepared on a going concern basis and does not currently see any adjustments that would result in the basis of preparation being inappropriate. </w:t>
      </w:r>
    </w:p>
    <w:p w14:paraId="749975D3" w14:textId="77777777" w:rsidR="00DA68D5" w:rsidRDefault="00DA68D5">
      <w:pPr>
        <w:rPr>
          <w:rFonts w:ascii="Helvetica Neue" w:eastAsia="Helvetica Neue" w:hAnsi="Helvetica Neue" w:cs="Helvetica Neue"/>
          <w:color w:val="212121"/>
          <w:sz w:val="20"/>
          <w:szCs w:val="20"/>
        </w:rPr>
      </w:pPr>
    </w:p>
    <w:p w14:paraId="3E4A039B" w14:textId="77777777" w:rsidR="00DA68D5" w:rsidRDefault="00000000">
      <w:pPr>
        <w:rPr>
          <w:b/>
          <w:color w:val="23262C"/>
          <w:sz w:val="20"/>
          <w:szCs w:val="20"/>
          <w:highlight w:val="white"/>
          <w:u w:val="single"/>
        </w:rPr>
      </w:pPr>
      <w:r>
        <w:rPr>
          <w:b/>
          <w:color w:val="23262C"/>
          <w:sz w:val="20"/>
          <w:szCs w:val="20"/>
          <w:highlight w:val="white"/>
          <w:u w:val="single"/>
        </w:rPr>
        <w:t>Important Information</w:t>
      </w:r>
    </w:p>
    <w:p w14:paraId="38793723" w14:textId="77777777" w:rsidR="00DA68D5" w:rsidRDefault="00DA68D5">
      <w:pPr>
        <w:rPr>
          <w:b/>
          <w:color w:val="23262C"/>
          <w:sz w:val="20"/>
          <w:szCs w:val="20"/>
          <w:highlight w:val="white"/>
          <w:u w:val="single"/>
        </w:rPr>
      </w:pPr>
    </w:p>
    <w:p w14:paraId="1D450DC9" w14:textId="77777777" w:rsidR="00DA68D5" w:rsidRDefault="00000000">
      <w:pPr>
        <w:rPr>
          <w:rFonts w:ascii="Helvetica Neue" w:eastAsia="Helvetica Neue" w:hAnsi="Helvetica Neue" w:cs="Helvetica Neue"/>
          <w:i/>
          <w:color w:val="212121"/>
          <w:sz w:val="20"/>
          <w:szCs w:val="20"/>
        </w:rPr>
      </w:pPr>
      <w:r>
        <w:rPr>
          <w:rFonts w:ascii="Helvetica Neue" w:eastAsia="Helvetica Neue" w:hAnsi="Helvetica Neue" w:cs="Helvetica Neue"/>
          <w:i/>
          <w:color w:val="212121"/>
          <w:sz w:val="20"/>
          <w:szCs w:val="20"/>
        </w:rPr>
        <w:t>This press release shall not constitute an offer to sell or a solicitation of an offer to buy any ordinary shares in any state or jurisdiction in which such an offer, solicitation or sale would be unlawful prior to registration or qualification under the securities laws of any such state or other jurisdiction. The ordinary shares that may be issued in connection with the equity financing line have not been and, except as pursuant to the terms of the registration rights agreement entered into in connection with the transaction, will not be registered under the Securities Act of 1933 or any state securities laws. Therefore, the ordinary shares that may be issued in connection with the equity financing line may not be offered, sold, or otherwise transferred within the United States or to or for the account of any U.S. person absent registration or an applicable exemption from the registration requirements of the Securities Act of 1933 and any applicable state securities laws.</w:t>
      </w:r>
    </w:p>
    <w:p w14:paraId="7D2EAA36" w14:textId="77777777" w:rsidR="00DA68D5" w:rsidRDefault="00DA68D5">
      <w:pPr>
        <w:pBdr>
          <w:top w:val="nil"/>
          <w:left w:val="nil"/>
          <w:bottom w:val="nil"/>
          <w:right w:val="nil"/>
          <w:between w:val="nil"/>
        </w:pBdr>
        <w:jc w:val="both"/>
        <w:rPr>
          <w:b/>
          <w:sz w:val="20"/>
          <w:szCs w:val="20"/>
          <w:highlight w:val="white"/>
          <w:u w:val="single"/>
        </w:rPr>
      </w:pPr>
    </w:p>
    <w:p w14:paraId="0244E3CA" w14:textId="77777777" w:rsidR="00DA68D5" w:rsidRDefault="00000000">
      <w:pPr>
        <w:pBdr>
          <w:top w:val="nil"/>
          <w:left w:val="nil"/>
          <w:bottom w:val="nil"/>
          <w:right w:val="nil"/>
          <w:between w:val="nil"/>
        </w:pBdr>
        <w:jc w:val="both"/>
        <w:rPr>
          <w:b/>
          <w:sz w:val="20"/>
          <w:szCs w:val="20"/>
          <w:highlight w:val="white"/>
          <w:u w:val="single"/>
        </w:rPr>
      </w:pPr>
      <w:r>
        <w:rPr>
          <w:b/>
          <w:sz w:val="20"/>
          <w:szCs w:val="20"/>
          <w:highlight w:val="white"/>
          <w:u w:val="single"/>
        </w:rPr>
        <w:t>Webcast Information</w:t>
      </w:r>
    </w:p>
    <w:p w14:paraId="27E36DC3" w14:textId="77777777" w:rsidR="00DA68D5" w:rsidRDefault="00DA68D5">
      <w:pPr>
        <w:pBdr>
          <w:top w:val="nil"/>
          <w:left w:val="nil"/>
          <w:bottom w:val="nil"/>
          <w:right w:val="nil"/>
          <w:between w:val="nil"/>
        </w:pBdr>
        <w:jc w:val="both"/>
        <w:rPr>
          <w:b/>
          <w:sz w:val="20"/>
          <w:szCs w:val="20"/>
          <w:highlight w:val="white"/>
          <w:u w:val="single"/>
        </w:rPr>
      </w:pPr>
    </w:p>
    <w:p w14:paraId="5AF6A037" w14:textId="77777777" w:rsidR="00DA68D5" w:rsidRDefault="00000000">
      <w:pPr>
        <w:jc w:val="both"/>
        <w:rPr>
          <w:b/>
          <w:sz w:val="20"/>
          <w:szCs w:val="20"/>
          <w:u w:val="single"/>
        </w:rPr>
      </w:pPr>
      <w:r>
        <w:rPr>
          <w:sz w:val="20"/>
          <w:szCs w:val="20"/>
          <w:highlight w:val="white"/>
        </w:rPr>
        <w:t>Arrival will host a Zoom webinar today, Monday March 13, 2023 at 4:30 P.M. Eastern Time to discuss its fourth quarter and full year 2022 financial results and business update. The live webcast will be accessible on the Company’s website at</w:t>
      </w:r>
      <w:hyperlink r:id="rId7">
        <w:r>
          <w:rPr>
            <w:sz w:val="20"/>
            <w:szCs w:val="20"/>
            <w:highlight w:val="white"/>
          </w:rPr>
          <w:t xml:space="preserve"> investors.arrival.com</w:t>
        </w:r>
      </w:hyperlink>
      <w:r>
        <w:rPr>
          <w:sz w:val="20"/>
          <w:szCs w:val="20"/>
          <w:highlight w:val="white"/>
        </w:rPr>
        <w:t>. A webcast replay will be available approximately two hours after the conclusion of the live event.</w:t>
      </w:r>
    </w:p>
    <w:p w14:paraId="426D4EAC" w14:textId="77777777" w:rsidR="00DA68D5" w:rsidRDefault="00DA68D5">
      <w:pPr>
        <w:pBdr>
          <w:top w:val="nil"/>
          <w:left w:val="nil"/>
          <w:bottom w:val="nil"/>
          <w:right w:val="nil"/>
          <w:between w:val="nil"/>
        </w:pBdr>
        <w:jc w:val="both"/>
        <w:rPr>
          <w:sz w:val="20"/>
          <w:szCs w:val="20"/>
          <w:highlight w:val="white"/>
        </w:rPr>
      </w:pPr>
    </w:p>
    <w:p w14:paraId="766FFD83" w14:textId="77777777" w:rsidR="00DA68D5" w:rsidRDefault="00DA68D5">
      <w:pPr>
        <w:pBdr>
          <w:top w:val="nil"/>
          <w:left w:val="nil"/>
          <w:bottom w:val="nil"/>
          <w:right w:val="nil"/>
          <w:between w:val="nil"/>
        </w:pBdr>
        <w:jc w:val="both"/>
        <w:rPr>
          <w:b/>
          <w:sz w:val="20"/>
          <w:szCs w:val="20"/>
          <w:u w:val="single"/>
        </w:rPr>
      </w:pPr>
    </w:p>
    <w:p w14:paraId="415D9369" w14:textId="77777777" w:rsidR="00DA68D5" w:rsidRDefault="00000000">
      <w:pPr>
        <w:pBdr>
          <w:top w:val="nil"/>
          <w:left w:val="nil"/>
          <w:bottom w:val="nil"/>
          <w:right w:val="nil"/>
          <w:between w:val="nil"/>
        </w:pBdr>
        <w:jc w:val="both"/>
        <w:rPr>
          <w:b/>
          <w:sz w:val="20"/>
          <w:szCs w:val="20"/>
          <w:u w:val="single"/>
        </w:rPr>
      </w:pPr>
      <w:r>
        <w:rPr>
          <w:b/>
          <w:sz w:val="20"/>
          <w:szCs w:val="20"/>
          <w:u w:val="single"/>
        </w:rPr>
        <w:t>About Arrival</w:t>
      </w:r>
    </w:p>
    <w:p w14:paraId="3DECF0B2" w14:textId="77777777" w:rsidR="00DA68D5" w:rsidRDefault="00DA68D5">
      <w:pPr>
        <w:pBdr>
          <w:top w:val="nil"/>
          <w:left w:val="nil"/>
          <w:bottom w:val="nil"/>
          <w:right w:val="nil"/>
          <w:between w:val="nil"/>
        </w:pBdr>
        <w:jc w:val="both"/>
        <w:rPr>
          <w:b/>
          <w:sz w:val="20"/>
          <w:szCs w:val="20"/>
          <w:u w:val="single"/>
        </w:rPr>
      </w:pPr>
    </w:p>
    <w:p w14:paraId="45DAB66E" w14:textId="77777777" w:rsidR="00DA68D5" w:rsidRDefault="00000000">
      <w:pPr>
        <w:jc w:val="both"/>
        <w:rPr>
          <w:sz w:val="20"/>
          <w:szCs w:val="20"/>
        </w:rPr>
      </w:pPr>
      <w:r>
        <w:rPr>
          <w:sz w:val="20"/>
          <w:szCs w:val="20"/>
        </w:rPr>
        <w:t>Arrival’s mission is to master a radically more efficient New Method to design, produce, sell and service best-ever electric vehicles, to support a world where cities are free from fossil fuel vehicles. Arrival’s in-house technologies enable a unique approach to producing vehicles using rapidly-scalable, local Microfactories. Arrival (NASDAQ: ARVL) is a joint stock company governed by Luxembourg law.</w:t>
      </w:r>
    </w:p>
    <w:p w14:paraId="729564A9" w14:textId="77777777" w:rsidR="00DA68D5" w:rsidRDefault="00DA68D5">
      <w:pPr>
        <w:pBdr>
          <w:top w:val="nil"/>
          <w:left w:val="nil"/>
          <w:bottom w:val="nil"/>
          <w:right w:val="nil"/>
          <w:between w:val="nil"/>
        </w:pBdr>
        <w:jc w:val="both"/>
        <w:rPr>
          <w:b/>
          <w:sz w:val="20"/>
          <w:szCs w:val="20"/>
        </w:rPr>
      </w:pPr>
    </w:p>
    <w:p w14:paraId="6843AB44" w14:textId="77777777" w:rsidR="00DA68D5" w:rsidRDefault="00000000">
      <w:pPr>
        <w:pBdr>
          <w:top w:val="nil"/>
          <w:left w:val="nil"/>
          <w:bottom w:val="nil"/>
          <w:right w:val="nil"/>
          <w:between w:val="nil"/>
        </w:pBdr>
        <w:jc w:val="both"/>
        <w:rPr>
          <w:b/>
          <w:sz w:val="20"/>
          <w:szCs w:val="20"/>
        </w:rPr>
      </w:pPr>
      <w:r>
        <w:rPr>
          <w:b/>
          <w:sz w:val="20"/>
          <w:szCs w:val="20"/>
          <w:u w:val="single"/>
        </w:rPr>
        <w:t>Forward-looking statements</w:t>
      </w:r>
    </w:p>
    <w:p w14:paraId="070E43EC" w14:textId="77777777" w:rsidR="00DA68D5" w:rsidRDefault="00000000">
      <w:pPr>
        <w:spacing w:before="240" w:after="240"/>
        <w:jc w:val="both"/>
        <w:rPr>
          <w:sz w:val="20"/>
          <w:szCs w:val="20"/>
        </w:rPr>
      </w:pPr>
      <w:r>
        <w:rPr>
          <w:sz w:val="20"/>
          <w:szCs w:val="20"/>
        </w:rPr>
        <w:t xml:space="preserve">This press release contains certain forward-looking statements within the meaning of the federal securities laws, including statements regarding the production of a purpose-built Class 4 XL Delivery Van and Vans in Bicester, the company’s future liquidity and targeted cash spend, the company’s ability to continue as a going concern, reductions in the company’s workforce, the Antara transaction, the equity financing line, future capital raisings, the EGM, the reverse stock split, the capital reduction and Arrival’s projected future financial condition. These forward-looking statements generally are identified by the words “believe,” “project,” “expect,” “anticipate,” “estimate,” “intend,” “positioned,” “strategy,” “outlook,” “future,” “opportunity,” “plan,” “potential,” “predict,” “may,” “should,” “could,” “will,” “would,” “will be,” “will continue,” “will likely result,” and similar expressions. Such statements are made pursuant to the safe harbor provisions of the Private Securities Litigation Reform Act of 1995 and are based on management’s belief or interpretation of information currently available. Forward-looking statements are predictions, projections and other statements about future events that are based on current expectations and assumptions and, as a result, are subject to risks and uncertainties.  Many factors could cause actual future results and events to differ materially from the results expressed in the forward-looking statements in this document. Among the key factors that could cause actual results to differ materially from those projected in the forward-looking statements include, but are not limited to:  (i) the risk that Arrival will be unable to raise additional capital on acceptable terms or at all; (ii) economic disruptions from war and other geopolitical tensions (such as the ongoing military conflict between Russia and Ukraine); (iii) the risk of downturns and the possibility of rapid change in the highly competitive industry in which Arrival operates, (iv) the risk that Arrival and its current and future collaborators are unable to successfully develop and commercialize Arrival’s products or services, or experience significant delays in doing so; (v) the risk that Arrival may never achieve or sustain profitability; (vi) the risk that Arrival experiences difficulties in managing its growth and expanding operations, (vii) the risk that third-parties suppliers and manufacturers are not able to fully and timely meet their obligations; (viii) the risk that the utilization of Microfactories will not provide the expected benefits due to, among other things, the inability to locate appropriate buildings to use as Microfactories, Microfactories needing a larger than anticipated factory footprint, and the inability of Arrival to deploy Microfactories in the anticipated time frame; (ix) the risk that the order that has been placed for vehicles is cancelled or modified or postponed; (x) the risk of product liability or regulatory lawsuits or proceedings relating to Arrival’s products and services; and (xi) the risk that Arrival is unable to secure or protect its intellectual property. </w:t>
      </w:r>
    </w:p>
    <w:p w14:paraId="49505DA5" w14:textId="77777777" w:rsidR="00DA68D5" w:rsidRDefault="00000000">
      <w:pPr>
        <w:spacing w:before="240" w:after="240"/>
        <w:jc w:val="both"/>
        <w:rPr>
          <w:sz w:val="20"/>
          <w:szCs w:val="20"/>
        </w:rPr>
      </w:pPr>
      <w:r>
        <w:rPr>
          <w:sz w:val="20"/>
          <w:szCs w:val="20"/>
        </w:rPr>
        <w:t>The foregoing list of factors is not exhaustive. You should carefully consider the foregoing factors and the other risks and uncertainties described in the “Risk Factors” section of Arrival’s annual report on Form 20-F filed with the U.S. Securities and Exchange Commission (the “SEC”) on April 27, 2022, and other documents filed by Arrival with the SEC from time to time. In addition, forecasts about future costs and other financial metrics and our expectations as to our ability to execute on our current business plan in the near term and the longer term are based on a number of assumptions we make, including the following assumptions that Arrival’s management believed to be material:</w:t>
      </w:r>
    </w:p>
    <w:p w14:paraId="2B256387" w14:textId="77777777" w:rsidR="00DA68D5" w:rsidRDefault="00000000">
      <w:pPr>
        <w:numPr>
          <w:ilvl w:val="0"/>
          <w:numId w:val="1"/>
        </w:numPr>
        <w:spacing w:before="240"/>
        <w:jc w:val="both"/>
        <w:rPr>
          <w:sz w:val="20"/>
          <w:szCs w:val="20"/>
        </w:rPr>
      </w:pPr>
      <w:r>
        <w:rPr>
          <w:sz w:val="20"/>
          <w:szCs w:val="20"/>
        </w:rPr>
        <w:t xml:space="preserve">Operational assumptions, including, the development and commercialization of Arrival’s vehicles, the roll out of Arrival’s Microfactory manufacturing locations, the production capacity of Arrival’s Microfactories, the selection of Arrival’s products by customers in the commercial Van industry, </w:t>
      </w:r>
      <w:r>
        <w:rPr>
          <w:sz w:val="20"/>
          <w:szCs w:val="20"/>
        </w:rPr>
        <w:lastRenderedPageBreak/>
        <w:t>growth in the various markets Arrival is targeting, average selling prices and resulting sales of vehicles</w:t>
      </w:r>
    </w:p>
    <w:p w14:paraId="5467EAB0" w14:textId="77777777" w:rsidR="00DA68D5" w:rsidRDefault="00000000">
      <w:pPr>
        <w:numPr>
          <w:ilvl w:val="0"/>
          <w:numId w:val="1"/>
        </w:numPr>
        <w:jc w:val="both"/>
        <w:rPr>
          <w:sz w:val="20"/>
          <w:szCs w:val="20"/>
        </w:rPr>
      </w:pPr>
      <w:r>
        <w:rPr>
          <w:sz w:val="20"/>
          <w:szCs w:val="20"/>
        </w:rPr>
        <w:t>The mix of products produced and sold in combination with corresponding costs, including material and component costs, assembly costs, manufacturing costs, and costs related to product warranties. Many of these costs are forecasted to vary significantly as Arrival commences production in its Microfactories</w:t>
      </w:r>
    </w:p>
    <w:p w14:paraId="31A34811" w14:textId="77777777" w:rsidR="00DA68D5" w:rsidRDefault="00000000">
      <w:pPr>
        <w:numPr>
          <w:ilvl w:val="0"/>
          <w:numId w:val="1"/>
        </w:numPr>
        <w:jc w:val="both"/>
        <w:rPr>
          <w:sz w:val="20"/>
          <w:szCs w:val="20"/>
        </w:rPr>
      </w:pPr>
      <w:r>
        <w:rPr>
          <w:sz w:val="20"/>
          <w:szCs w:val="20"/>
        </w:rPr>
        <w:t>Arrival’s ability to raise capital necessary to execute on its current business plan and production timeline, including the roll-out of its factories, as well as to maintain its ongoing operations, continue research, development and design efforts and improve infrastructure</w:t>
      </w:r>
    </w:p>
    <w:p w14:paraId="60107DC1" w14:textId="77777777" w:rsidR="00DA68D5" w:rsidRDefault="00000000">
      <w:pPr>
        <w:numPr>
          <w:ilvl w:val="0"/>
          <w:numId w:val="1"/>
        </w:numPr>
        <w:spacing w:after="240"/>
        <w:jc w:val="both"/>
        <w:rPr>
          <w:sz w:val="20"/>
          <w:szCs w:val="20"/>
        </w:rPr>
      </w:pPr>
      <w:r>
        <w:rPr>
          <w:sz w:val="20"/>
          <w:szCs w:val="20"/>
        </w:rPr>
        <w:t>Capital expenditure is based on a number of assumptions regarding the expenditure required to build Arrival’s Microfactories, including the cost of initial set up of factory facilities and the cost of manufacturing and assembly equipment</w:t>
      </w:r>
    </w:p>
    <w:p w14:paraId="73B53D30" w14:textId="77777777" w:rsidR="00DA68D5" w:rsidRDefault="00000000">
      <w:pPr>
        <w:spacing w:before="240" w:after="240"/>
        <w:jc w:val="both"/>
        <w:rPr>
          <w:sz w:val="20"/>
          <w:szCs w:val="20"/>
        </w:rPr>
      </w:pPr>
      <w:r>
        <w:rPr>
          <w:sz w:val="20"/>
          <w:szCs w:val="20"/>
        </w:rPr>
        <w:t>In making the foregoing assumptions, Arrival’s management relied on a number of factors, including: its experience in the automotive industry, its experience in the period since the inception of the company and current pricing estimates for prototype vehicles and vehicle components as well as the projected costs for first factory locations that are already in development; its best estimates of the timing for the development and commercialization of its vehicles and overall vehicle development process; its best estimates of current and future customers purchasing Arrival’s vehicles; and third-party forecasts for industry growth.  Forecasts of future financial metrics are inherently uncertain, and actual results may differ significantly from forecasts based on our assumptions underlying those forecasts at this time.</w:t>
      </w:r>
    </w:p>
    <w:p w14:paraId="0AF93FBE" w14:textId="77777777" w:rsidR="00DA68D5" w:rsidRDefault="00000000">
      <w:pPr>
        <w:spacing w:before="240" w:after="240"/>
        <w:jc w:val="both"/>
        <w:rPr>
          <w:sz w:val="20"/>
          <w:szCs w:val="20"/>
        </w:rPr>
      </w:pPr>
      <w:r>
        <w:rPr>
          <w:sz w:val="20"/>
          <w:szCs w:val="20"/>
        </w:rPr>
        <w:t>Readers are cautioned not to put undue reliance on forward-looking statements as they are subject to numerous uncertainties and factors relating to Arrival’s operations and business environment, all of which are difficult to predict and many of which are beyond Arrival’s control. Except as required by applicable law, Arrival assumes no obligation to and does not intend to update or revise these forward-looking statements after the date of this press release, whether as a result of new information, future events, or otherwise. In light of these risks and uncertainties, you should keep in mind that any event described in a forward-looking statement made in this press release or elsewhere might not occur. Arrival does not give any assurance that Arrival will achieve its expectations.</w:t>
      </w:r>
    </w:p>
    <w:p w14:paraId="170F25AE" w14:textId="77777777" w:rsidR="00DA68D5" w:rsidRDefault="00000000">
      <w:pPr>
        <w:jc w:val="both"/>
        <w:rPr>
          <w:b/>
          <w:sz w:val="20"/>
          <w:szCs w:val="20"/>
        </w:rPr>
      </w:pPr>
      <w:r>
        <w:rPr>
          <w:b/>
          <w:sz w:val="20"/>
          <w:szCs w:val="20"/>
          <w:u w:val="single"/>
        </w:rPr>
        <w:t>Media Contacts For Arrival</w:t>
      </w:r>
      <w:r>
        <w:rPr>
          <w:b/>
          <w:sz w:val="20"/>
          <w:szCs w:val="20"/>
        </w:rPr>
        <w:t xml:space="preserve"> </w:t>
      </w:r>
    </w:p>
    <w:p w14:paraId="3B254CE4" w14:textId="77777777" w:rsidR="00DA68D5" w:rsidRDefault="00DA68D5">
      <w:pPr>
        <w:jc w:val="both"/>
        <w:rPr>
          <w:sz w:val="20"/>
          <w:szCs w:val="20"/>
        </w:rPr>
      </w:pPr>
    </w:p>
    <w:p w14:paraId="2103A803" w14:textId="77777777" w:rsidR="00DA68D5" w:rsidRDefault="00000000">
      <w:pPr>
        <w:jc w:val="both"/>
        <w:rPr>
          <w:sz w:val="20"/>
          <w:szCs w:val="20"/>
        </w:rPr>
      </w:pPr>
      <w:r>
        <w:rPr>
          <w:sz w:val="20"/>
          <w:szCs w:val="20"/>
        </w:rPr>
        <w:t xml:space="preserve">Media </w:t>
      </w:r>
    </w:p>
    <w:p w14:paraId="2451451F" w14:textId="77777777" w:rsidR="00DA68D5" w:rsidRDefault="00000000">
      <w:pPr>
        <w:jc w:val="both"/>
        <w:rPr>
          <w:sz w:val="20"/>
          <w:szCs w:val="20"/>
        </w:rPr>
      </w:pPr>
      <w:hyperlink r:id="rId8">
        <w:r>
          <w:rPr>
            <w:color w:val="1155CC"/>
            <w:sz w:val="20"/>
            <w:szCs w:val="20"/>
            <w:u w:val="single"/>
          </w:rPr>
          <w:t xml:space="preserve">pr@arrival.com </w:t>
        </w:r>
      </w:hyperlink>
    </w:p>
    <w:p w14:paraId="5CD57B6B" w14:textId="77777777" w:rsidR="00DA68D5" w:rsidRDefault="00000000">
      <w:pPr>
        <w:jc w:val="both"/>
        <w:rPr>
          <w:sz w:val="20"/>
          <w:szCs w:val="20"/>
        </w:rPr>
      </w:pPr>
      <w:r>
        <w:rPr>
          <w:sz w:val="20"/>
          <w:szCs w:val="20"/>
        </w:rPr>
        <w:t xml:space="preserve">Investors </w:t>
      </w:r>
    </w:p>
    <w:p w14:paraId="04ECAAD1" w14:textId="77777777" w:rsidR="00DA68D5" w:rsidRDefault="00000000">
      <w:pPr>
        <w:jc w:val="both"/>
        <w:rPr>
          <w:b/>
          <w:sz w:val="20"/>
          <w:szCs w:val="20"/>
          <w:highlight w:val="white"/>
        </w:rPr>
      </w:pPr>
      <w:hyperlink r:id="rId9">
        <w:r>
          <w:rPr>
            <w:color w:val="1155CC"/>
            <w:sz w:val="20"/>
            <w:szCs w:val="20"/>
            <w:u w:val="single"/>
          </w:rPr>
          <w:t>ir@arrival.com</w:t>
        </w:r>
      </w:hyperlink>
    </w:p>
    <w:p w14:paraId="0661B978" w14:textId="77777777" w:rsidR="00DA68D5" w:rsidRDefault="00DA68D5">
      <w:pPr>
        <w:jc w:val="both"/>
        <w:rPr>
          <w:b/>
          <w:sz w:val="20"/>
          <w:szCs w:val="20"/>
          <w:highlight w:val="white"/>
        </w:rPr>
      </w:pPr>
    </w:p>
    <w:p w14:paraId="6E14E424" w14:textId="77777777" w:rsidR="00DA68D5" w:rsidRDefault="00DA68D5">
      <w:pPr>
        <w:jc w:val="both"/>
        <w:rPr>
          <w:color w:val="23262C"/>
          <w:sz w:val="16"/>
          <w:szCs w:val="16"/>
        </w:rPr>
      </w:pPr>
    </w:p>
    <w:sectPr w:rsidR="00DA68D5">
      <w:headerReference w:type="default" r:id="rId10"/>
      <w:pgSz w:w="12240" w:h="15840"/>
      <w:pgMar w:top="113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4C22" w14:textId="77777777" w:rsidR="00A657CA" w:rsidRDefault="00A657CA">
      <w:pPr>
        <w:spacing w:line="240" w:lineRule="auto"/>
      </w:pPr>
      <w:r>
        <w:separator/>
      </w:r>
    </w:p>
  </w:endnote>
  <w:endnote w:type="continuationSeparator" w:id="0">
    <w:p w14:paraId="0436EF20" w14:textId="77777777" w:rsidR="00A657CA" w:rsidRDefault="00A65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EA83" w14:textId="77777777" w:rsidR="00A657CA" w:rsidRDefault="00A657CA">
      <w:pPr>
        <w:spacing w:line="240" w:lineRule="auto"/>
      </w:pPr>
      <w:r>
        <w:separator/>
      </w:r>
    </w:p>
  </w:footnote>
  <w:footnote w:type="continuationSeparator" w:id="0">
    <w:p w14:paraId="6E9716F6" w14:textId="77777777" w:rsidR="00A657CA" w:rsidRDefault="00A65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C209" w14:textId="77777777" w:rsidR="00DA68D5" w:rsidRDefault="00DA68D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032E"/>
    <w:multiLevelType w:val="multilevel"/>
    <w:tmpl w:val="5388E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151E85"/>
    <w:multiLevelType w:val="multilevel"/>
    <w:tmpl w:val="3726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5989346">
    <w:abstractNumId w:val="0"/>
  </w:num>
  <w:num w:numId="2" w16cid:durableId="129552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D5"/>
    <w:rsid w:val="001B4383"/>
    <w:rsid w:val="00A657CA"/>
    <w:rsid w:val="00DA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76FEB3"/>
  <w15:docId w15:val="{6E66E2BA-7DCB-304B-800A-B28CB407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arrival.com" TargetMode="External"/><Relationship Id="rId3" Type="http://schemas.openxmlformats.org/officeDocument/2006/relationships/settings" Target="settings.xml"/><Relationship Id="rId7" Type="http://schemas.openxmlformats.org/officeDocument/2006/relationships/hyperlink" Target="https://arrival.gcs-we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arr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Dmitry Matveev</cp:lastModifiedBy>
  <cp:revision>2</cp:revision>
  <dcterms:created xsi:type="dcterms:W3CDTF">2023-04-06T10:53:00Z</dcterms:created>
  <dcterms:modified xsi:type="dcterms:W3CDTF">2023-04-06T10:53:00Z</dcterms:modified>
</cp:coreProperties>
</file>